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E362" w14:textId="77777777" w:rsidR="005D4BDA" w:rsidRPr="00AD581C" w:rsidRDefault="00000000">
      <w:pPr>
        <w:rPr>
          <w:b/>
          <w:bCs/>
          <w:sz w:val="48"/>
          <w:szCs w:val="48"/>
        </w:rPr>
      </w:pPr>
      <w:r w:rsidRPr="00AD581C">
        <w:rPr>
          <w:b/>
          <w:bCs/>
          <w:sz w:val="48"/>
          <w:szCs w:val="48"/>
        </w:rPr>
        <w:t>NITRIFIN DMPP®</w:t>
      </w:r>
    </w:p>
    <w:p w14:paraId="7566DFC5" w14:textId="77777777" w:rsidR="005D4BDA" w:rsidRDefault="00000000">
      <w:r>
        <w:t>pomocná půdní látka s inhibitorem nitrifikace</w:t>
      </w:r>
    </w:p>
    <w:p w14:paraId="06A3791D" w14:textId="77777777" w:rsidR="005D4BDA" w:rsidRDefault="00000000">
      <w:r>
        <w:t>Žadatel: AGGIE GROUP s.r.o.</w:t>
      </w:r>
    </w:p>
    <w:p w14:paraId="0447990B" w14:textId="59881C22" w:rsidR="00AD581C" w:rsidRDefault="00AD581C">
      <w:proofErr w:type="gramStart"/>
      <w:r>
        <w:t>Dodavatel :</w:t>
      </w:r>
      <w:proofErr w:type="gramEnd"/>
      <w:r>
        <w:t xml:space="preserve"> FINSTAR, s.r.o.</w:t>
      </w:r>
    </w:p>
    <w:p w14:paraId="4869FA6B" w14:textId="77777777" w:rsidR="005D4BDA" w:rsidRDefault="00000000">
      <w:r>
        <w:t xml:space="preserve">Výrobce: </w:t>
      </w:r>
      <w:proofErr w:type="spellStart"/>
      <w:r>
        <w:t>CroxX</w:t>
      </w:r>
      <w:proofErr w:type="spellEnd"/>
      <w:r>
        <w:t xml:space="preserve"> </w:t>
      </w:r>
      <w:proofErr w:type="spellStart"/>
      <w:r>
        <w:t>GmbH</w:t>
      </w:r>
      <w:proofErr w:type="spellEnd"/>
      <w:r>
        <w:t xml:space="preserve"> &amp; Co.KG., 48153 </w:t>
      </w:r>
      <w:proofErr w:type="spellStart"/>
      <w:r>
        <w:t>Münster</w:t>
      </w:r>
      <w:proofErr w:type="spellEnd"/>
      <w:r>
        <w:t>, Německo</w:t>
      </w:r>
    </w:p>
    <w:p w14:paraId="24B8AD25" w14:textId="2B8A143B" w:rsidR="005D4BDA" w:rsidRDefault="00000000">
      <w:r>
        <w:t>Hnojivo CE evidenční číslo C55</w:t>
      </w:r>
      <w:r w:rsidR="00AD581C">
        <w:t xml:space="preserve"> – podle </w:t>
      </w:r>
      <w:r w:rsidR="00AD581C" w:rsidRPr="00AD581C">
        <w:t>nařízení EU 2019/1009</w:t>
      </w:r>
    </w:p>
    <w:p w14:paraId="5BD728D9" w14:textId="77777777" w:rsidR="005D4BDA" w:rsidRDefault="00000000">
      <w:r>
        <w:t xml:space="preserve">Chemické a fyzikální vlastnosti: </w:t>
      </w:r>
    </w:p>
    <w:tbl>
      <w:tblPr>
        <w:tblW w:w="7079" w:type="dxa"/>
        <w:tblInd w:w="121" w:type="dxa"/>
        <w:tblLayout w:type="fixed"/>
        <w:tblCellMar>
          <w:left w:w="10" w:type="dxa"/>
          <w:right w:w="10" w:type="dxa"/>
        </w:tblCellMar>
        <w:tblLook w:val="04A0" w:firstRow="1" w:lastRow="0" w:firstColumn="1" w:lastColumn="0" w:noHBand="0" w:noVBand="1"/>
      </w:tblPr>
      <w:tblGrid>
        <w:gridCol w:w="4958"/>
        <w:gridCol w:w="2121"/>
      </w:tblGrid>
      <w:tr w:rsidR="005D4BDA" w14:paraId="50201904" w14:textId="77777777">
        <w:tblPrEx>
          <w:tblCellMar>
            <w:top w:w="0" w:type="dxa"/>
            <w:bottom w:w="0" w:type="dxa"/>
          </w:tblCellMar>
        </w:tblPrEx>
        <w:trPr>
          <w:trHeight w:val="268"/>
        </w:trPr>
        <w:tc>
          <w:tcPr>
            <w:tcW w:w="49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4706D0" w14:textId="77777777" w:rsidR="005D4BDA" w:rsidRDefault="00000000">
            <w:pPr>
              <w:pStyle w:val="TableParagraph"/>
              <w:spacing w:line="246" w:lineRule="exact"/>
              <w:rPr>
                <w:rFonts w:ascii="Arial" w:hAnsi="Arial" w:cs="Arial"/>
                <w:b/>
                <w:lang w:val="cs-CZ"/>
              </w:rPr>
            </w:pPr>
            <w:r>
              <w:rPr>
                <w:rFonts w:ascii="Arial" w:hAnsi="Arial" w:cs="Arial"/>
                <w:b/>
                <w:lang w:val="cs-CZ"/>
              </w:rPr>
              <w:t>Vlastnost</w:t>
            </w:r>
          </w:p>
        </w:tc>
        <w:tc>
          <w:tcPr>
            <w:tcW w:w="21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DD4EAE" w14:textId="77777777" w:rsidR="005D4BDA" w:rsidRDefault="00000000">
            <w:pPr>
              <w:pStyle w:val="TableParagraph"/>
              <w:spacing w:line="246" w:lineRule="exact"/>
              <w:ind w:left="560" w:right="546"/>
              <w:jc w:val="center"/>
              <w:rPr>
                <w:rFonts w:ascii="Arial" w:hAnsi="Arial" w:cs="Arial"/>
                <w:b/>
                <w:lang w:val="cs-CZ"/>
              </w:rPr>
            </w:pPr>
            <w:r>
              <w:rPr>
                <w:rFonts w:ascii="Arial" w:hAnsi="Arial" w:cs="Arial"/>
                <w:b/>
                <w:lang w:val="cs-CZ"/>
              </w:rPr>
              <w:t>Hodnota</w:t>
            </w:r>
          </w:p>
        </w:tc>
      </w:tr>
      <w:tr w:rsidR="005D4BDA" w14:paraId="40ABF11A" w14:textId="77777777">
        <w:tblPrEx>
          <w:tblCellMar>
            <w:top w:w="0" w:type="dxa"/>
            <w:bottom w:w="0" w:type="dxa"/>
          </w:tblCellMar>
        </w:tblPrEx>
        <w:trPr>
          <w:trHeight w:val="268"/>
        </w:trPr>
        <w:tc>
          <w:tcPr>
            <w:tcW w:w="49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6C83F1" w14:textId="77777777" w:rsidR="005D4BDA" w:rsidRPr="00AD581C" w:rsidRDefault="00000000">
            <w:pPr>
              <w:pStyle w:val="TableParagraph"/>
              <w:spacing w:line="246" w:lineRule="exact"/>
              <w:rPr>
                <w:lang w:val="cs-CZ"/>
              </w:rPr>
            </w:pPr>
            <w:r>
              <w:rPr>
                <w:rFonts w:ascii="Arial" w:hAnsi="Arial" w:cs="Arial"/>
                <w:lang w:val="cs-CZ"/>
              </w:rPr>
              <w:t xml:space="preserve">DMPP (3,4 </w:t>
            </w:r>
            <w:r>
              <w:rPr>
                <w:rFonts w:ascii="Cambria Math" w:hAnsi="Cambria Math" w:cs="Cambria Math"/>
                <w:lang w:val="cs-CZ"/>
              </w:rPr>
              <w:t>‐</w:t>
            </w:r>
            <w:r>
              <w:rPr>
                <w:rFonts w:ascii="Arial" w:hAnsi="Arial" w:cs="Arial"/>
                <w:lang w:val="cs-CZ"/>
              </w:rPr>
              <w:t xml:space="preserve"> dimethyl-</w:t>
            </w:r>
            <w:proofErr w:type="gramStart"/>
            <w:r>
              <w:rPr>
                <w:rFonts w:ascii="Arial" w:hAnsi="Arial" w:cs="Arial"/>
                <w:lang w:val="cs-CZ"/>
              </w:rPr>
              <w:t>1H</w:t>
            </w:r>
            <w:proofErr w:type="gramEnd"/>
            <w:r>
              <w:rPr>
                <w:rFonts w:ascii="Arial" w:hAnsi="Arial" w:cs="Arial"/>
                <w:lang w:val="cs-CZ"/>
              </w:rPr>
              <w:t>-pyrazol fosfát) v %</w:t>
            </w:r>
          </w:p>
        </w:tc>
        <w:tc>
          <w:tcPr>
            <w:tcW w:w="21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0EBE6C" w14:textId="77777777" w:rsidR="005D4BDA" w:rsidRDefault="00000000">
            <w:pPr>
              <w:pStyle w:val="TableParagraph"/>
              <w:spacing w:line="246" w:lineRule="exact"/>
              <w:ind w:left="556" w:right="546"/>
              <w:jc w:val="center"/>
              <w:rPr>
                <w:rFonts w:ascii="Arial" w:hAnsi="Arial" w:cs="Arial"/>
                <w:lang w:val="cs-CZ"/>
              </w:rPr>
            </w:pPr>
            <w:r>
              <w:rPr>
                <w:rFonts w:ascii="Arial" w:hAnsi="Arial" w:cs="Arial"/>
                <w:lang w:val="cs-CZ"/>
              </w:rPr>
              <w:t>25</w:t>
            </w:r>
          </w:p>
        </w:tc>
      </w:tr>
      <w:tr w:rsidR="005D4BDA" w14:paraId="2EBC0DDE" w14:textId="77777777">
        <w:tblPrEx>
          <w:tblCellMar>
            <w:top w:w="0" w:type="dxa"/>
            <w:bottom w:w="0" w:type="dxa"/>
          </w:tblCellMar>
        </w:tblPrEx>
        <w:trPr>
          <w:trHeight w:val="270"/>
        </w:trPr>
        <w:tc>
          <w:tcPr>
            <w:tcW w:w="49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4D514F" w14:textId="77777777" w:rsidR="005D4BDA" w:rsidRDefault="00000000">
            <w:pPr>
              <w:pStyle w:val="TableParagraph"/>
              <w:spacing w:before="3" w:line="247" w:lineRule="exact"/>
            </w:pPr>
            <w:r>
              <w:rPr>
                <w:rFonts w:ascii="Arial" w:hAnsi="Arial" w:cs="Arial"/>
                <w:lang w:val="cs-CZ"/>
              </w:rPr>
              <w:t>Hustota v g/cm</w:t>
            </w:r>
            <w:r>
              <w:rPr>
                <w:rFonts w:ascii="Arial" w:hAnsi="Arial" w:cs="Arial"/>
                <w:vertAlign w:val="superscript"/>
                <w:lang w:val="cs-CZ"/>
              </w:rPr>
              <w:t xml:space="preserve">3 </w:t>
            </w:r>
            <w:r>
              <w:rPr>
                <w:rFonts w:ascii="Arial" w:hAnsi="Arial" w:cs="Arial"/>
                <w:lang w:val="cs-CZ"/>
              </w:rPr>
              <w:t>min.</w:t>
            </w:r>
          </w:p>
        </w:tc>
        <w:tc>
          <w:tcPr>
            <w:tcW w:w="21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34F586" w14:textId="77777777" w:rsidR="005D4BDA" w:rsidRDefault="00000000">
            <w:pPr>
              <w:pStyle w:val="TableParagraph"/>
              <w:spacing w:before="4" w:line="246" w:lineRule="exact"/>
              <w:ind w:left="556" w:right="546"/>
              <w:jc w:val="center"/>
              <w:rPr>
                <w:rFonts w:ascii="Arial" w:hAnsi="Arial" w:cs="Arial"/>
                <w:lang w:val="cs-CZ"/>
              </w:rPr>
            </w:pPr>
            <w:r>
              <w:rPr>
                <w:rFonts w:ascii="Arial" w:hAnsi="Arial" w:cs="Arial"/>
                <w:lang w:val="cs-CZ"/>
              </w:rPr>
              <w:t>1,27</w:t>
            </w:r>
          </w:p>
        </w:tc>
      </w:tr>
    </w:tbl>
    <w:p w14:paraId="7F6CBE9C" w14:textId="77777777" w:rsidR="005D4BDA" w:rsidRDefault="00000000">
      <w:r>
        <w:t>Obsah rizikových prvků splňuje zákonem stanovené limity v mg/kg: kadmium 1, olovo 10, rtuť 1, arzen 20, chrom 50.</w:t>
      </w:r>
    </w:p>
    <w:p w14:paraId="09D95306" w14:textId="77777777" w:rsidR="005D4BDA" w:rsidRDefault="00000000">
      <w:r>
        <w:rPr>
          <w:b/>
          <w:bCs/>
        </w:rPr>
        <w:t>Rozsah a způsob použití</w:t>
      </w:r>
      <w:r>
        <w:t>: Stabilizátor dusíku (inhibitor nitrifikace) pro použití s koncentrovanými kapalnými hnojivy typu DAM, SAM, SADAM apod. resp. k vodním roztokům močoviny a tekutými statkovými hnojivy (kejda, močůvka, hnojůvka apod). Může být též aplikován na granulovaná hnojiva typu NPK – obecné pokyny pro tuto aplikaci kontaktujte dodavatele.</w:t>
      </w:r>
    </w:p>
    <w:p w14:paraId="7152B377" w14:textId="77777777" w:rsidR="005D4BDA" w:rsidRDefault="00000000">
      <w:r>
        <w:t xml:space="preserve">NITRIFIN DMPP® je stabilizátor dusíku, obsahuje účinnou látku DMPP, která inhibuje bakterie </w:t>
      </w:r>
      <w:proofErr w:type="spellStart"/>
      <w:r>
        <w:t>Nitrosomonas</w:t>
      </w:r>
      <w:proofErr w:type="spellEnd"/>
      <w:r>
        <w:t xml:space="preserve"> a zpomaluje přeměnu amonného dusíku na dusičnan. Je speciálně formulován pro kejdu, digestát z bioplynových stanic a kapalná hnojiva (DAM/UAN/</w:t>
      </w:r>
      <w:proofErr w:type="gramStart"/>
      <w:r>
        <w:t>SAM)  a</w:t>
      </w:r>
      <w:proofErr w:type="gramEnd"/>
      <w:r>
        <w:t xml:space="preserve"> který zvyšuje účinnost dusíku v tekutých statkových a organických hnojivech a kapalných minerálních hnojivech. </w:t>
      </w:r>
    </w:p>
    <w:p w14:paraId="0CBBD578" w14:textId="77777777" w:rsidR="005D4BDA" w:rsidRDefault="00000000">
      <w:r>
        <w:t>Kromě oddálení přeměny z amoniaku na dusičnany se vyhneme nežádoucímu účinku dusičnanů v rostlinách používaných k výživě zvířat a lidí. Omezuje tím ztráty vyplavením a denitrifikací.</w:t>
      </w:r>
    </w:p>
    <w:p w14:paraId="1CF90C2D" w14:textId="77777777" w:rsidR="005D4BDA" w:rsidRDefault="00000000">
      <w:r>
        <w:t xml:space="preserve">V závislosti na teplotě, povaze půdy a hodnotě pH se může stabilní amonný dusík udržet v ornici </w:t>
      </w:r>
      <w:r>
        <w:rPr>
          <w:b/>
          <w:bCs/>
        </w:rPr>
        <w:t>čtyři (4) až deset (10) týdnů</w:t>
      </w:r>
      <w:r>
        <w:t>. Dávky dusíku tak mohou být spojeny.</w:t>
      </w:r>
    </w:p>
    <w:p w14:paraId="1954DAF0" w14:textId="77777777" w:rsidR="005D4BDA" w:rsidRDefault="00000000">
      <w:r>
        <w:t>Doporučené dávkování k vodním roztokům močoviny a tekutým statkovým hnojivům (kejda, močůvka, hnojůvka apod</w:t>
      </w:r>
      <w:proofErr w:type="gramStart"/>
      <w:r>
        <w:t>) :</w:t>
      </w:r>
      <w:proofErr w:type="gramEnd"/>
    </w:p>
    <w:tbl>
      <w:tblPr>
        <w:tblW w:w="9062" w:type="dxa"/>
        <w:tblCellMar>
          <w:left w:w="10" w:type="dxa"/>
          <w:right w:w="10" w:type="dxa"/>
        </w:tblCellMar>
        <w:tblLook w:val="04A0" w:firstRow="1" w:lastRow="0" w:firstColumn="1" w:lastColumn="0" w:noHBand="0" w:noVBand="1"/>
      </w:tblPr>
      <w:tblGrid>
        <w:gridCol w:w="3020"/>
        <w:gridCol w:w="3921"/>
        <w:gridCol w:w="2121"/>
      </w:tblGrid>
      <w:tr w:rsidR="005D4BDA" w14:paraId="61337688" w14:textId="77777777">
        <w:tblPrEx>
          <w:tblCellMar>
            <w:top w:w="0" w:type="dxa"/>
            <w:bottom w:w="0" w:type="dxa"/>
          </w:tblCellMar>
        </w:tblPrEx>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FF2B1" w14:textId="77777777" w:rsidR="005D4BDA" w:rsidRDefault="00000000">
            <w:pPr>
              <w:spacing w:after="0" w:line="240" w:lineRule="auto"/>
              <w:rPr>
                <w:b/>
                <w:bCs/>
              </w:rPr>
            </w:pPr>
            <w:r>
              <w:rPr>
                <w:b/>
                <w:bCs/>
              </w:rPr>
              <w:t>HNOJIVO</w:t>
            </w:r>
          </w:p>
        </w:tc>
        <w:tc>
          <w:tcPr>
            <w:tcW w:w="3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5168" w14:textId="77777777" w:rsidR="005D4BDA" w:rsidRDefault="00000000">
            <w:pPr>
              <w:spacing w:after="0" w:line="240" w:lineRule="auto"/>
              <w:rPr>
                <w:b/>
                <w:bCs/>
              </w:rPr>
            </w:pPr>
            <w:r>
              <w:rPr>
                <w:b/>
                <w:bCs/>
              </w:rPr>
              <w:t>APLIKACE</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5EC34" w14:textId="77777777" w:rsidR="005D4BDA" w:rsidRDefault="00000000">
            <w:pPr>
              <w:spacing w:after="0" w:line="240" w:lineRule="auto"/>
              <w:rPr>
                <w:b/>
                <w:bCs/>
              </w:rPr>
            </w:pPr>
            <w:proofErr w:type="gramStart"/>
            <w:r>
              <w:rPr>
                <w:b/>
                <w:bCs/>
              </w:rPr>
              <w:t>DÁVKA  l</w:t>
            </w:r>
            <w:proofErr w:type="gramEnd"/>
            <w:r>
              <w:rPr>
                <w:b/>
                <w:bCs/>
              </w:rPr>
              <w:t>/ha</w:t>
            </w:r>
          </w:p>
        </w:tc>
      </w:tr>
      <w:tr w:rsidR="005D4BDA" w14:paraId="2CE654BF" w14:textId="77777777">
        <w:tblPrEx>
          <w:tblCellMar>
            <w:top w:w="0" w:type="dxa"/>
            <w:bottom w:w="0" w:type="dxa"/>
          </w:tblCellMar>
        </w:tblPrEx>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731FA" w14:textId="77777777" w:rsidR="005D4BDA" w:rsidRDefault="00000000">
            <w:pPr>
              <w:spacing w:after="0" w:line="240" w:lineRule="auto"/>
            </w:pPr>
            <w:r>
              <w:t>Kejda/digestát</w:t>
            </w:r>
          </w:p>
        </w:tc>
        <w:tc>
          <w:tcPr>
            <w:tcW w:w="3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4ECE2" w14:textId="77777777" w:rsidR="005D4BDA" w:rsidRDefault="00000000">
            <w:pPr>
              <w:spacing w:after="0" w:line="240" w:lineRule="auto"/>
            </w:pPr>
            <w:r>
              <w:t>Lehká kultivace (0-20 cm)</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06243" w14:textId="77777777" w:rsidR="005D4BDA" w:rsidRDefault="00000000">
            <w:pPr>
              <w:spacing w:after="0" w:line="240" w:lineRule="auto"/>
            </w:pPr>
            <w:r>
              <w:t>1</w:t>
            </w:r>
          </w:p>
        </w:tc>
      </w:tr>
      <w:tr w:rsidR="005D4BDA" w14:paraId="60949932" w14:textId="77777777">
        <w:tblPrEx>
          <w:tblCellMar>
            <w:top w:w="0" w:type="dxa"/>
            <w:bottom w:w="0" w:type="dxa"/>
          </w:tblCellMar>
        </w:tblPrEx>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DE3E7" w14:textId="77777777" w:rsidR="005D4BDA" w:rsidRDefault="00000000">
            <w:pPr>
              <w:spacing w:after="0" w:line="240" w:lineRule="auto"/>
            </w:pPr>
            <w:r>
              <w:t>Kejda/digestát</w:t>
            </w:r>
          </w:p>
        </w:tc>
        <w:tc>
          <w:tcPr>
            <w:tcW w:w="3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CD775" w14:textId="77777777" w:rsidR="005D4BDA" w:rsidRDefault="00000000">
            <w:pPr>
              <w:spacing w:after="0" w:line="240" w:lineRule="auto"/>
            </w:pPr>
            <w:r>
              <w:t xml:space="preserve">Hluboké zapravení (více jak </w:t>
            </w:r>
            <w:proofErr w:type="gramStart"/>
            <w:r>
              <w:t>20cm</w:t>
            </w:r>
            <w:proofErr w:type="gramEnd"/>
            <w:r>
              <w:t>)</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2625E" w14:textId="77777777" w:rsidR="005D4BDA" w:rsidRDefault="00000000">
            <w:pPr>
              <w:spacing w:after="0" w:line="240" w:lineRule="auto"/>
            </w:pPr>
            <w:r>
              <w:t>2</w:t>
            </w:r>
          </w:p>
        </w:tc>
      </w:tr>
      <w:tr w:rsidR="005D4BDA" w14:paraId="74C88927" w14:textId="77777777">
        <w:tblPrEx>
          <w:tblCellMar>
            <w:top w:w="0" w:type="dxa"/>
            <w:bottom w:w="0" w:type="dxa"/>
          </w:tblCellMar>
        </w:tblPrEx>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60654" w14:textId="77777777" w:rsidR="005D4BDA" w:rsidRDefault="00000000">
            <w:pPr>
              <w:spacing w:after="0" w:line="240" w:lineRule="auto"/>
            </w:pPr>
            <w:r>
              <w:t>DAM (UAN, SAM)</w:t>
            </w:r>
          </w:p>
        </w:tc>
        <w:tc>
          <w:tcPr>
            <w:tcW w:w="3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DA553" w14:textId="77777777" w:rsidR="005D4BDA" w:rsidRDefault="00000000">
            <w:pPr>
              <w:spacing w:after="0" w:line="240" w:lineRule="auto"/>
            </w:pPr>
            <w:r>
              <w:t>Bez ohledu na dávku</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C2EB3" w14:textId="77777777" w:rsidR="005D4BDA" w:rsidRDefault="00000000">
            <w:pPr>
              <w:spacing w:after="0" w:line="240" w:lineRule="auto"/>
            </w:pPr>
            <w:r>
              <w:t>1,5</w:t>
            </w:r>
          </w:p>
        </w:tc>
      </w:tr>
      <w:tr w:rsidR="005D4BDA" w14:paraId="626147CB" w14:textId="77777777">
        <w:tblPrEx>
          <w:tblCellMar>
            <w:top w:w="0" w:type="dxa"/>
            <w:bottom w:w="0" w:type="dxa"/>
          </w:tblCellMar>
        </w:tblPrEx>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28E62" w14:textId="77777777" w:rsidR="005D4BDA" w:rsidRDefault="00000000">
            <w:pPr>
              <w:spacing w:after="0" w:line="240" w:lineRule="auto"/>
            </w:pPr>
            <w:proofErr w:type="gramStart"/>
            <w:r>
              <w:t>Močůvka ,</w:t>
            </w:r>
            <w:proofErr w:type="gramEnd"/>
            <w:r>
              <w:t xml:space="preserve"> hnojůvka </w:t>
            </w:r>
          </w:p>
        </w:tc>
        <w:tc>
          <w:tcPr>
            <w:tcW w:w="3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D3120" w14:textId="77777777" w:rsidR="005D4BDA" w:rsidRDefault="005D4BDA">
            <w:pPr>
              <w:spacing w:after="0" w:line="240" w:lineRule="auto"/>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26535" w14:textId="77777777" w:rsidR="005D4BDA" w:rsidRDefault="00000000">
            <w:pPr>
              <w:spacing w:after="0" w:line="240" w:lineRule="auto"/>
            </w:pPr>
            <w:r>
              <w:t>1-2</w:t>
            </w:r>
          </w:p>
        </w:tc>
      </w:tr>
      <w:tr w:rsidR="005D4BDA" w14:paraId="25BE0B3E" w14:textId="77777777">
        <w:tblPrEx>
          <w:tblCellMar>
            <w:top w:w="0" w:type="dxa"/>
            <w:bottom w:w="0" w:type="dxa"/>
          </w:tblCellMar>
        </w:tblPrEx>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C10AA" w14:textId="77777777" w:rsidR="005D4BDA" w:rsidRDefault="00000000">
            <w:pPr>
              <w:spacing w:after="0" w:line="240" w:lineRule="auto"/>
            </w:pPr>
            <w:r>
              <w:t>Skladování v jímce</w:t>
            </w:r>
          </w:p>
        </w:tc>
        <w:tc>
          <w:tcPr>
            <w:tcW w:w="3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81309" w14:textId="77777777" w:rsidR="005D4BDA" w:rsidRDefault="00000000">
            <w:pPr>
              <w:spacing w:after="0" w:line="240" w:lineRule="auto"/>
            </w:pPr>
            <w:r>
              <w:t>Max. 3 týdny</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F32D5" w14:textId="77777777" w:rsidR="005D4BDA" w:rsidRDefault="00000000">
            <w:pPr>
              <w:spacing w:after="0" w:line="240" w:lineRule="auto"/>
            </w:pPr>
            <w:r>
              <w:t>1-2</w:t>
            </w:r>
          </w:p>
        </w:tc>
      </w:tr>
    </w:tbl>
    <w:p w14:paraId="06C218A7" w14:textId="77777777" w:rsidR="005D4BDA" w:rsidRDefault="005D4BDA"/>
    <w:p w14:paraId="5F386AF3" w14:textId="77777777" w:rsidR="005D4BDA" w:rsidRPr="00AD581C" w:rsidRDefault="00000000">
      <w:pPr>
        <w:rPr>
          <w:b/>
          <w:bCs/>
        </w:rPr>
      </w:pPr>
      <w:r w:rsidRPr="00AD581C">
        <w:rPr>
          <w:b/>
          <w:bCs/>
        </w:rPr>
        <w:t>Způsob aplikace</w:t>
      </w:r>
    </w:p>
    <w:p w14:paraId="126BD388" w14:textId="77777777" w:rsidR="005D4BDA" w:rsidRDefault="00000000">
      <w:r>
        <w:t>Přidat do cisterny nebo do jímky před aplikaci. Důkladně promíchat. Po aplikaci na povrch zapravit do půdy co nejdříve.</w:t>
      </w:r>
    </w:p>
    <w:p w14:paraId="4D9EC76C" w14:textId="77777777" w:rsidR="005D4BDA" w:rsidRDefault="005D4BDA">
      <w:pPr>
        <w:rPr>
          <w:b/>
        </w:rPr>
      </w:pPr>
    </w:p>
    <w:p w14:paraId="4B4D9E96" w14:textId="77777777" w:rsidR="00AD581C" w:rsidRDefault="00AD581C">
      <w:pPr>
        <w:rPr>
          <w:b/>
        </w:rPr>
      </w:pPr>
    </w:p>
    <w:p w14:paraId="5F554ADB" w14:textId="55AC3A83" w:rsidR="005D4BDA" w:rsidRDefault="00000000">
      <w:pPr>
        <w:rPr>
          <w:b/>
        </w:rPr>
      </w:pPr>
      <w:r>
        <w:rPr>
          <w:b/>
        </w:rPr>
        <w:lastRenderedPageBreak/>
        <w:t>Klíčová pravidla pro maximální účinnost</w:t>
      </w:r>
    </w:p>
    <w:p w14:paraId="66259E7B" w14:textId="77777777" w:rsidR="005D4BDA" w:rsidRDefault="00000000">
      <w:pPr>
        <w:numPr>
          <w:ilvl w:val="0"/>
          <w:numId w:val="1"/>
        </w:numPr>
      </w:pPr>
      <w:r>
        <w:rPr>
          <w:position w:val="4"/>
        </w:rPr>
        <w:t xml:space="preserve">NITRIFIN® v jímce s kejdou je stabilní </w:t>
      </w:r>
      <w:r>
        <w:rPr>
          <w:b/>
          <w:position w:val="4"/>
        </w:rPr>
        <w:t xml:space="preserve">maximálně 2–3 týdny </w:t>
      </w:r>
      <w:r>
        <w:rPr>
          <w:position w:val="4"/>
        </w:rPr>
        <w:t>— přidávejte těsně před aplikací nebo do jímky, která bude do 3 týdnů vyprázdněna</w:t>
      </w:r>
    </w:p>
    <w:p w14:paraId="4C3DB63D" w14:textId="77777777" w:rsidR="005D4BDA" w:rsidRDefault="00000000">
      <w:pPr>
        <w:numPr>
          <w:ilvl w:val="0"/>
          <w:numId w:val="1"/>
        </w:numPr>
      </w:pPr>
      <w:r>
        <w:t xml:space="preserve">Po povrchové aplikaci kejdy/digestátu </w:t>
      </w:r>
      <w:r>
        <w:rPr>
          <w:b/>
        </w:rPr>
        <w:t xml:space="preserve">co nejdříve zapravit do půdy </w:t>
      </w:r>
      <w:r>
        <w:t>(lehká kultivace)</w:t>
      </w:r>
    </w:p>
    <w:p w14:paraId="76852F07" w14:textId="77777777" w:rsidR="005D4BDA" w:rsidRDefault="00000000">
      <w:pPr>
        <w:numPr>
          <w:ilvl w:val="0"/>
          <w:numId w:val="1"/>
        </w:numPr>
      </w:pPr>
      <w:r>
        <w:t xml:space="preserve">Ideální pro </w:t>
      </w:r>
      <w:r>
        <w:rPr>
          <w:b/>
        </w:rPr>
        <w:t xml:space="preserve">podzimní a předjarní aplikace </w:t>
      </w:r>
      <w:r>
        <w:t>kejdy/digestátu — chrání N přes zimu před vyplavením</w:t>
      </w:r>
    </w:p>
    <w:p w14:paraId="6E6A1CD2" w14:textId="77777777" w:rsidR="005D4BDA" w:rsidRDefault="00000000">
      <w:pPr>
        <w:numPr>
          <w:ilvl w:val="0"/>
          <w:numId w:val="1"/>
        </w:numPr>
      </w:pPr>
      <w:r>
        <w:t xml:space="preserve">Účinek je nejvýraznější na </w:t>
      </w:r>
      <w:r>
        <w:rPr>
          <w:b/>
        </w:rPr>
        <w:t xml:space="preserve">lehkých </w:t>
      </w:r>
      <w:proofErr w:type="spellStart"/>
      <w:r>
        <w:rPr>
          <w:b/>
        </w:rPr>
        <w:t>promyvných</w:t>
      </w:r>
      <w:proofErr w:type="spellEnd"/>
      <w:r>
        <w:rPr>
          <w:b/>
        </w:rPr>
        <w:t xml:space="preserve"> půdách </w:t>
      </w:r>
      <w:r>
        <w:t xml:space="preserve">a při </w:t>
      </w:r>
      <w:r>
        <w:rPr>
          <w:b/>
        </w:rPr>
        <w:t xml:space="preserve">nízkých teplotách </w:t>
      </w:r>
      <w:r>
        <w:t>půdy</w:t>
      </w:r>
    </w:p>
    <w:p w14:paraId="77E09919" w14:textId="77777777" w:rsidR="005D4BDA" w:rsidRDefault="00000000">
      <w:pPr>
        <w:rPr>
          <w:b/>
          <w:bCs/>
        </w:rPr>
      </w:pPr>
      <w:r>
        <w:rPr>
          <w:b/>
          <w:bCs/>
        </w:rPr>
        <w:t>Doporučení podle plodin — proč a kdy aplikovat</w:t>
      </w:r>
    </w:p>
    <w:p w14:paraId="7E5E5B2D" w14:textId="77777777" w:rsidR="005D4BDA" w:rsidRDefault="00000000">
      <w:r>
        <w:t xml:space="preserve">NITRIFIN® se přidává do kejdy, digestátu, močůvky nebo DAM/SAM </w:t>
      </w:r>
      <w:r>
        <w:rPr>
          <w:b/>
        </w:rPr>
        <w:t>před aplikací na pole</w:t>
      </w:r>
      <w:r>
        <w:t xml:space="preserve">. </w:t>
      </w:r>
    </w:p>
    <w:p w14:paraId="04DCBA5F" w14:textId="77777777" w:rsidR="005D4BDA" w:rsidRDefault="00000000">
      <w:r>
        <w:object w:dxaOrig="9070" w:dyaOrig="5503" w14:anchorId="7FB77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3" o:spid="_x0000_i1025" type="#_x0000_t75" style="width:453.75pt;height:275.25pt;visibility:visible;mso-wrap-style:square" o:ole="">
            <v:imagedata r:id="rId7" o:title=""/>
          </v:shape>
          <o:OLEObject Type="Embed" ProgID="Word.Document.12" ShapeID="Object 73" DrawAspect="Content" ObjectID="_1840354731" r:id="rId8"/>
        </w:object>
      </w:r>
    </w:p>
    <w:p w14:paraId="22E68D14" w14:textId="77777777" w:rsidR="005D4BDA" w:rsidRDefault="005D4BDA"/>
    <w:p w14:paraId="01BF0572" w14:textId="77777777" w:rsidR="005D4BDA" w:rsidRDefault="00000000">
      <w:r>
        <w:t xml:space="preserve">Dávka hnojiva k urychlení rozkladu posklizňových zbytků by měla vycházet z množství posklizňových zbytků a jejich kvality (např. na 1 t slámy obilnin aplikujeme 30-50 l hnojiva, což představuje </w:t>
      </w:r>
      <w:proofErr w:type="gramStart"/>
      <w:r>
        <w:t>150 - 200</w:t>
      </w:r>
      <w:proofErr w:type="gramEnd"/>
      <w:r>
        <w:t xml:space="preserve"> l hnojiva/ha + 1,0 – 1,5 litru NITRIFIN DMPP®). Po aplikaci co nejdříve zapravit podmítkou.</w:t>
      </w:r>
    </w:p>
    <w:p w14:paraId="18409D57" w14:textId="77777777" w:rsidR="005D4BDA" w:rsidRDefault="00000000">
      <w:r>
        <w:t xml:space="preserve">Obecné pokyny pro kapalná hnojiva: U cisteren s čerpadlem přidejte NITRIFIN DMPP® ještě před plněním cisterny. Správným postupem je zapravit hnojivo spolu s inhibitorem přímo do </w:t>
      </w:r>
      <w:proofErr w:type="gramStart"/>
      <w:r>
        <w:t>půdy - nejlépe</w:t>
      </w:r>
      <w:proofErr w:type="gramEnd"/>
      <w:r>
        <w:t xml:space="preserve"> ihned po aplikaci. To znamená vmíchat NITRIFIN DMPP® k hnojivu v cisterně. V současné době je toto možné buď tzv. by-pass technologií, kterou disponují novější moderní cisternové přívěsy, nebo prostě jen nalít odměřené množství před plněním hnojiva do savice </w:t>
      </w:r>
      <w:proofErr w:type="gramStart"/>
      <w:r>
        <w:t>cisterny - rozmíchat</w:t>
      </w:r>
      <w:proofErr w:type="gramEnd"/>
      <w:r>
        <w:t xml:space="preserve"> požadovanou dávku NITRIFIN DMPP</w:t>
      </w:r>
      <w:proofErr w:type="gramStart"/>
      <w:r>
        <w:t>®  v</w:t>
      </w:r>
      <w:proofErr w:type="gramEnd"/>
      <w:r>
        <w:t xml:space="preserve"> 10 l vody a před plněním nasát do cisterny. Takto dojde k optimálnímu promíchání. Možností je také nalít NITRIFIN DMPP® přímo do lagun či nádrží s organickými hnojivy ovšem pod podmínkou, že celé budou vyvezeny do max. 3 týdnů. V případě jistoty srážek po aplikaci (do 10 dnů alespoň 12 mm). </w:t>
      </w:r>
    </w:p>
    <w:p w14:paraId="01E0CB8F" w14:textId="77777777" w:rsidR="005D4BDA" w:rsidRDefault="00000000">
      <w:r>
        <w:lastRenderedPageBreak/>
        <w:t>Po aplikaci tekutých statkových hnojiv nebo kapalných organických hnojiv na povrch orné půdy se hnojiva zapracovávají do půdy nejpozději do 24 hodin.</w:t>
      </w:r>
    </w:p>
    <w:p w14:paraId="27EDD2DD" w14:textId="77777777" w:rsidR="005D4BDA" w:rsidRDefault="00000000">
      <w:r>
        <w:t xml:space="preserve">NITRIFIN DMPP® je možno kombinovat s pesticidy. Vzhledem k jejich různorodosti však </w:t>
      </w:r>
      <w:r>
        <w:rPr>
          <w:b/>
          <w:bCs/>
        </w:rPr>
        <w:t>doporučujeme provést předem</w:t>
      </w:r>
      <w:r>
        <w:t xml:space="preserve"> zkoušku mísitelnosti.</w:t>
      </w:r>
    </w:p>
    <w:p w14:paraId="69BF3EAD" w14:textId="77777777" w:rsidR="005D4BDA" w:rsidRDefault="00000000">
      <w:r>
        <w:object w:dxaOrig="9600" w:dyaOrig="3099" w14:anchorId="065B0BB2">
          <v:shape id="Object 74" o:spid="_x0000_i1026" type="#_x0000_t75" style="width:480pt;height:155.25pt;visibility:visible;mso-wrap-style:square" o:ole="">
            <v:imagedata r:id="rId9" o:title=""/>
          </v:shape>
          <o:OLEObject Type="Embed" ProgID="Word.Document.12" ShapeID="Object 74" DrawAspect="Content" ObjectID="_1840354732" r:id="rId10"/>
        </w:object>
      </w:r>
    </w:p>
    <w:p w14:paraId="68D4743F" w14:textId="77777777" w:rsidR="005D4BDA" w:rsidRDefault="005D4BDA"/>
    <w:p w14:paraId="397C8953" w14:textId="77777777" w:rsidR="005D4BDA" w:rsidRDefault="00000000">
      <w:pPr>
        <w:rPr>
          <w:b/>
          <w:bCs/>
        </w:rPr>
      </w:pPr>
      <w:r>
        <w:rPr>
          <w:b/>
          <w:bCs/>
        </w:rPr>
        <w:t>Pokyny pro bezpečnost a ochranu zdraví při práci:</w:t>
      </w:r>
    </w:p>
    <w:p w14:paraId="79AD1954" w14:textId="77777777" w:rsidR="005D4BDA" w:rsidRDefault="00000000">
      <w:r>
        <w:t>Nebezpečné obsažené látky</w:t>
      </w:r>
      <w:r>
        <w:tab/>
        <w:t>: 3,4–dimethyl-</w:t>
      </w:r>
      <w:proofErr w:type="gramStart"/>
      <w:r>
        <w:t>1H</w:t>
      </w:r>
      <w:proofErr w:type="gramEnd"/>
      <w:r>
        <w:t xml:space="preserve">-pyrazol fosfát </w:t>
      </w:r>
    </w:p>
    <w:p w14:paraId="00B1A61A" w14:textId="77777777" w:rsidR="005D4BDA" w:rsidRDefault="00000000">
      <w:r>
        <w:t>Standardní věty o nebezpečnosti (CLP</w:t>
      </w:r>
      <w:proofErr w:type="gramStart"/>
      <w:r>
        <w:t>):  H</w:t>
      </w:r>
      <w:proofErr w:type="gramEnd"/>
      <w:r>
        <w:t xml:space="preserve">319 - Způsobuje vážné podráždění očí. </w:t>
      </w:r>
      <w:proofErr w:type="gramStart"/>
      <w:r>
        <w:t>H361fd - Podezření</w:t>
      </w:r>
      <w:proofErr w:type="gramEnd"/>
      <w:r>
        <w:t xml:space="preserve"> na poškození reprodukční schopnosti. Podezření na poškození plodu v těle matky. </w:t>
      </w:r>
      <w:proofErr w:type="gramStart"/>
      <w:r>
        <w:t>H373 - Může</w:t>
      </w:r>
      <w:proofErr w:type="gramEnd"/>
      <w:r>
        <w:t xml:space="preserve"> způsobit poškození orgánů (játra, ledviny, nadledvinky, nosní dutina) při prodloužené nebo opakované expozici. H302 ZDRAVÍ ŠKODLIVÝ PŘI POŽITÍ. H412 ŠKODLIVÝ PRO VODNÍ ORGANISMY, S DLOUHODOBÝMI ÚČINKY.</w:t>
      </w:r>
    </w:p>
    <w:p w14:paraId="3A3DED37" w14:textId="77777777" w:rsidR="005D4BDA" w:rsidRDefault="00000000">
      <w:r>
        <w:t>P101 JE</w:t>
      </w:r>
      <w:r>
        <w:softHyphen/>
        <w:t>LI NUTNÁ LÉKAŘSKÁ POMOC, MĚJTE PO RUCE OBAL NEBO ŠTÍTEK VÝROBKU. P102 UCHOVÁVEJTE MIMO DOSAH DĚTÍ. P103 PŘED POUŽITÍM SI PŘEČTĚTE ÚDAJE NA ŠTÍTKU. P201 PŘED POUŽITÍM SI OBSTAREJTE SPECIÁLNÍ INSTRUKCE. P202 NEPOUŽÍVEJTE, DOKUD JSTE SI NEPŘEČETLI VŠECHNY BEZPEČNOSTNÍ POKYNY A NEPOROZUMĚLI JIM. P234 UCHOVÁVEJTE POUZE V PŮVODNÍM OBALU. P260 NEVDECHUJTE MLHU NEBO PÁRY. P264 PO MANIPULACI DŮKLADNĚ UMYJTE KONTAMINOVNÉ ČÁSTI TĚLA. P280 POUŽÍVEJTE OCHRANNÉ RUKAVICE, OCHRANNÉ BRÝLE A OBLIČEJOVÝ ŠTÍT. P301 + P330 + P331 PŘI POŽITÍ: VYPLÁCHNĚTE ÚSTA. NEVYVOLÁVEJTE ZVRACENÍ. P303 + P361 + P353 PŘI STYKU S KŮŽÍ (NEBO S VLASY): VEŠKERÉ KONTAMINOVANÉ ČÁSTI ODĚVU OKAMŽITĚ SVLÉKNĚTE. OPLÁCHNĚTE KŮŽI VODOU / OSPRCHUJTE. P304 + P340 PŘI VDECHNUTÍ: PŘENESTE POSTIŽENÉHO NA ČERSTVÝ VZDUCH A PONECHTE JEJ V KLIDU V POLOZE VHODNÉ PRO POHODLNÉ DÝCHÁNÍ. P305 + P351 + P338 PŘI ZASAŽENÍ OČÍ: NĚKOLIK MINUT OPATRNĚ VYPLACHUJTE VODOU. VYJMĚTE KONTAKTNÍ ČOČKY, JSOU</w:t>
      </w:r>
      <w:r>
        <w:softHyphen/>
        <w:t>LI NASAZENY, A POKUD JE LZE VYJMOUT SNADNO. POKRAČUJTE VE VYPLACHOVÁNÍ. P310 OKAMŽITĚ VOLEJTE TOXIKOLOGICKÉ INFORMAČNÍ STŘEDISKO NEBO LÉKAŘE.  P390 UNIKLÝ PRODUKT ABSORBUJTE, ABY SE ZABRÁNILO MATERIÁLNÍM ŠKODÁM.  P405 SKLADUJTE UZAMČENÉ. P406 SKLADUJTE V OBALU ODOLNÉM PROTI KOROZI / OBALU S ODOLNOU VNITŘNÍ VLOŽKOU. PŘED POUŽITÍM SI PŘEČTĚTE PŘILOŽENÝ NÁVOD K POUŽITÍ.</w:t>
      </w:r>
    </w:p>
    <w:p w14:paraId="74C2328B" w14:textId="77777777" w:rsidR="005D4BDA" w:rsidRDefault="00000000">
      <w:r>
        <w:t>EUH401 DODRŽUJTE POKYNY PRO POUŽÍVÁNÍ, ABYSTE SE VYVAROVALI RIZIK PRO LIDSKÉ ZDRAVÍ A ŽIVOTNÍ PROSTŘEDÍ</w:t>
      </w:r>
    </w:p>
    <w:p w14:paraId="5919E273" w14:textId="77777777" w:rsidR="005D4BDA" w:rsidRDefault="00000000">
      <w:r>
        <w:t>SP1 NEZNEČIŠŤUJTE VODY PŘÍPRAVKEM NEBO JEHO OBALEM. (NEČISTĚTE APLIKAČNÍ ZAŘÍZENÍ V BLÍZKOSTI POVRCHOVÝCH VOD / ZABRAŇTE KONTAMINACI VOD SPLACHEM Z FAREM A Z CEST).</w:t>
      </w:r>
    </w:p>
    <w:p w14:paraId="51113B9B" w14:textId="77777777" w:rsidR="005D4BDA" w:rsidRDefault="00000000">
      <w:r>
        <w:lastRenderedPageBreak/>
        <w:t>Podmínky skladování: Přípravek skladujte v uzavřených originálních obalech v suchých, uzamčených skladech, odděleně od potravin, nápojů a krmiv, dezinfekčních prostředků, hnojiv a obalů od těchto látek při teplotách +5 až +30 °C. Chraňte před teplem, vlhkostí, přímým slunečním zářením a teplotami nad +30°C. Dlouhodobé vystavení vysokým teplotám může změnit vlastnosti výrobku.</w:t>
      </w:r>
    </w:p>
    <w:p w14:paraId="1D287D61" w14:textId="77777777" w:rsidR="005D4BDA" w:rsidRDefault="00000000">
      <w:r>
        <w:t>Pro přepravu veřejnými dopravními prostředky platí předpisy veřejného přepravce</w:t>
      </w:r>
    </w:p>
    <w:p w14:paraId="355EC470" w14:textId="77777777" w:rsidR="005D4BDA" w:rsidRDefault="00000000">
      <w:pPr>
        <w:rPr>
          <w:b/>
          <w:bCs/>
        </w:rPr>
      </w:pPr>
      <w:r>
        <w:rPr>
          <w:b/>
          <w:bCs/>
        </w:rPr>
        <w:t>Nepodléhá předpisu ADR/RID               Není korozivní</w:t>
      </w:r>
    </w:p>
    <w:p w14:paraId="0FA2BA22" w14:textId="77777777" w:rsidR="005D4BDA" w:rsidRDefault="00000000">
      <w:r>
        <w:t>Likvidace zbytků přípravku a obalů: Vyprázdněné vypláchnuté plastové obaly doporučujeme předat do organizovaného sběru druhotných surovin. Obaly nespalujte.</w:t>
      </w:r>
    </w:p>
    <w:p w14:paraId="70CB5BBA" w14:textId="77777777" w:rsidR="005D4BDA" w:rsidRDefault="00000000">
      <w:r>
        <w:t xml:space="preserve">Doba použitelnosti: Při skladování v původních neotevřených a neporušených obalech 4 roky od data výroby. Přípravek, u něhož prošla doba použitelnosti, lze uvádět na trh po dobu 1 roku, jestliže se prokáže na základě analýzy odpovídajícího vzorku, že se jeho chemické a fyzikální vlastnosti shodují s vlastnostmi, na jejichž základě bylo uděleno povolení. </w:t>
      </w:r>
    </w:p>
    <w:p w14:paraId="448AE34F" w14:textId="77777777" w:rsidR="005D4BDA" w:rsidRDefault="00000000">
      <w:r>
        <w:t>Zkouškami bylo prokázáno, že při dodržení návodu k použití je přípravek vhodný k doporučenému účelu. Výrobce však nemůže ručit za škody, způsobené neodborným a předpisům neodpovídajícím použitím a skladováním.</w:t>
      </w:r>
    </w:p>
    <w:p w14:paraId="1F3F278A" w14:textId="77777777" w:rsidR="005D4BDA" w:rsidRDefault="00000000">
      <w:r>
        <w:t>Přípravek se dodává balený / 20 HDPE kanystr, IBC kontejner</w:t>
      </w:r>
    </w:p>
    <w:p w14:paraId="54DCAACE" w14:textId="77777777" w:rsidR="005D4BDA" w:rsidRDefault="00000000">
      <w:r>
        <w:t>Důležité upozornění: Před použitím přípravku pročtěte pozorně návod k použití! Za škody vzniklé nevhodným skladováním anebo nevhodným použitím přípravku výrobce neručí.</w:t>
      </w:r>
    </w:p>
    <w:sectPr w:rsidR="005D4BDA">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1634" w14:textId="77777777" w:rsidR="002D0D8D" w:rsidRDefault="002D0D8D">
      <w:pPr>
        <w:spacing w:after="0" w:line="240" w:lineRule="auto"/>
      </w:pPr>
      <w:r>
        <w:separator/>
      </w:r>
    </w:p>
  </w:endnote>
  <w:endnote w:type="continuationSeparator" w:id="0">
    <w:p w14:paraId="003FCFAB" w14:textId="77777777" w:rsidR="002D0D8D" w:rsidRDefault="002D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2B86" w14:textId="77777777" w:rsidR="002D0D8D" w:rsidRDefault="002D0D8D">
      <w:pPr>
        <w:spacing w:after="0" w:line="240" w:lineRule="auto"/>
      </w:pPr>
      <w:r>
        <w:rPr>
          <w:color w:val="000000"/>
        </w:rPr>
        <w:separator/>
      </w:r>
    </w:p>
  </w:footnote>
  <w:footnote w:type="continuationSeparator" w:id="0">
    <w:p w14:paraId="6C5C5848" w14:textId="77777777" w:rsidR="002D0D8D" w:rsidRDefault="002D0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F3EF8"/>
    <w:multiLevelType w:val="multilevel"/>
    <w:tmpl w:val="EAC8BD48"/>
    <w:lvl w:ilvl="0">
      <w:numFmt w:val="bullet"/>
      <w:lvlText w:val="•"/>
      <w:lvlJc w:val="left"/>
      <w:pPr>
        <w:ind w:left="498" w:hanging="103"/>
      </w:pPr>
      <w:rPr>
        <w:rFonts w:ascii="Arial" w:eastAsia="Arial" w:hAnsi="Arial" w:cs="Arial"/>
        <w:b w:val="0"/>
        <w:bCs w:val="0"/>
        <w:i w:val="0"/>
        <w:iCs w:val="0"/>
        <w:color w:val="1A2331"/>
        <w:w w:val="102"/>
        <w:position w:val="0"/>
        <w:sz w:val="16"/>
        <w:szCs w:val="16"/>
        <w:vertAlign w:val="baseline"/>
        <w:lang w:val="cs-CZ" w:eastAsia="en-US" w:bidi="ar-SA"/>
      </w:rPr>
    </w:lvl>
    <w:lvl w:ilvl="1">
      <w:numFmt w:val="bullet"/>
      <w:lvlText w:val="•"/>
      <w:lvlJc w:val="left"/>
      <w:pPr>
        <w:ind w:left="1515" w:hanging="103"/>
      </w:pPr>
      <w:rPr>
        <w:lang w:val="cs-CZ" w:eastAsia="en-US" w:bidi="ar-SA"/>
      </w:rPr>
    </w:lvl>
    <w:lvl w:ilvl="2">
      <w:numFmt w:val="bullet"/>
      <w:lvlText w:val="•"/>
      <w:lvlJc w:val="left"/>
      <w:pPr>
        <w:ind w:left="2531" w:hanging="103"/>
      </w:pPr>
      <w:rPr>
        <w:lang w:val="cs-CZ" w:eastAsia="en-US" w:bidi="ar-SA"/>
      </w:rPr>
    </w:lvl>
    <w:lvl w:ilvl="3">
      <w:numFmt w:val="bullet"/>
      <w:lvlText w:val="•"/>
      <w:lvlJc w:val="left"/>
      <w:pPr>
        <w:ind w:left="3547" w:hanging="103"/>
      </w:pPr>
      <w:rPr>
        <w:lang w:val="cs-CZ" w:eastAsia="en-US" w:bidi="ar-SA"/>
      </w:rPr>
    </w:lvl>
    <w:lvl w:ilvl="4">
      <w:numFmt w:val="bullet"/>
      <w:lvlText w:val="•"/>
      <w:lvlJc w:val="left"/>
      <w:pPr>
        <w:ind w:left="4563" w:hanging="103"/>
      </w:pPr>
      <w:rPr>
        <w:lang w:val="cs-CZ" w:eastAsia="en-US" w:bidi="ar-SA"/>
      </w:rPr>
    </w:lvl>
    <w:lvl w:ilvl="5">
      <w:numFmt w:val="bullet"/>
      <w:lvlText w:val="•"/>
      <w:lvlJc w:val="left"/>
      <w:pPr>
        <w:ind w:left="5579" w:hanging="103"/>
      </w:pPr>
      <w:rPr>
        <w:lang w:val="cs-CZ" w:eastAsia="en-US" w:bidi="ar-SA"/>
      </w:rPr>
    </w:lvl>
    <w:lvl w:ilvl="6">
      <w:numFmt w:val="bullet"/>
      <w:lvlText w:val="•"/>
      <w:lvlJc w:val="left"/>
      <w:pPr>
        <w:ind w:left="6594" w:hanging="103"/>
      </w:pPr>
      <w:rPr>
        <w:lang w:val="cs-CZ" w:eastAsia="en-US" w:bidi="ar-SA"/>
      </w:rPr>
    </w:lvl>
    <w:lvl w:ilvl="7">
      <w:numFmt w:val="bullet"/>
      <w:lvlText w:val="•"/>
      <w:lvlJc w:val="left"/>
      <w:pPr>
        <w:ind w:left="7610" w:hanging="103"/>
      </w:pPr>
      <w:rPr>
        <w:lang w:val="cs-CZ" w:eastAsia="en-US" w:bidi="ar-SA"/>
      </w:rPr>
    </w:lvl>
    <w:lvl w:ilvl="8">
      <w:numFmt w:val="bullet"/>
      <w:lvlText w:val="•"/>
      <w:lvlJc w:val="left"/>
      <w:pPr>
        <w:ind w:left="8626" w:hanging="103"/>
      </w:pPr>
      <w:rPr>
        <w:lang w:val="cs-CZ" w:eastAsia="en-US" w:bidi="ar-SA"/>
      </w:rPr>
    </w:lvl>
  </w:abstractNum>
  <w:num w:numId="1" w16cid:durableId="11688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D4BDA"/>
    <w:rsid w:val="000F16AD"/>
    <w:rsid w:val="002D0D8D"/>
    <w:rsid w:val="005D4BDA"/>
    <w:rsid w:val="00AD581C"/>
    <w:rsid w:val="00D80444"/>
    <w:rsid w:val="00DC1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2D73"/>
  <w15:docId w15:val="{96AE3A98-FAA3-4A99-BF2E-E1FDE3B3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Paragraph">
    <w:name w:val="Table Paragraph"/>
    <w:basedOn w:val="Normln"/>
    <w:pPr>
      <w:widowControl w:val="0"/>
      <w:suppressAutoHyphens w:val="0"/>
      <w:autoSpaceDE w:val="0"/>
      <w:spacing w:before="2" w:after="0" w:line="240" w:lineRule="auto"/>
      <w:ind w:left="110"/>
      <w:textAlignment w:val="auto"/>
    </w:pPr>
    <w:rPr>
      <w:rFonts w:ascii="Trebuchet MS" w:eastAsia="Trebuchet MS" w:hAnsi="Trebuchet MS" w:cs="Trebuchet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1101</Words>
  <Characters>6499</Characters>
  <Application>Microsoft Office Word</Application>
  <DocSecurity>0</DocSecurity>
  <Lines>54</Lines>
  <Paragraphs>15</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dc:creator>
  <dc:description/>
  <cp:lastModifiedBy>Finstar s.r.o.</cp:lastModifiedBy>
  <cp:revision>2</cp:revision>
  <dcterms:created xsi:type="dcterms:W3CDTF">2026-05-15T10:52:00Z</dcterms:created>
  <dcterms:modified xsi:type="dcterms:W3CDTF">2026-05-15T10:52:00Z</dcterms:modified>
</cp:coreProperties>
</file>